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2400"/>
        <w:gridCol w:w="12"/>
        <w:gridCol w:w="6876"/>
      </w:tblGrid>
      <w:tr w:rsidR="00661450" w14:paraId="72096959" w14:textId="77777777" w:rsidTr="00724A4D">
        <w:tc>
          <w:tcPr>
            <w:tcW w:w="2400" w:type="dxa"/>
          </w:tcPr>
          <w:p w14:paraId="384B5CE5" w14:textId="77777777" w:rsidR="00661450" w:rsidRPr="00530E00" w:rsidRDefault="00661450" w:rsidP="00724A4D">
            <w:pPr>
              <w:rPr>
                <w:b/>
                <w:lang w:val="en-IE"/>
              </w:rPr>
            </w:pPr>
            <w:r w:rsidRPr="00530E00">
              <w:rPr>
                <w:b/>
                <w:lang w:val="en-IE"/>
              </w:rPr>
              <w:t>Indicator name</w:t>
            </w:r>
          </w:p>
        </w:tc>
        <w:tc>
          <w:tcPr>
            <w:tcW w:w="6888" w:type="dxa"/>
            <w:gridSpan w:val="2"/>
          </w:tcPr>
          <w:p w14:paraId="650E4E67" w14:textId="77777777" w:rsidR="00661450" w:rsidRDefault="00661450" w:rsidP="00724A4D">
            <w:pPr>
              <w:rPr>
                <w:b/>
                <w:lang w:val="en-IE"/>
              </w:rPr>
            </w:pPr>
            <w:r>
              <w:rPr>
                <w:b/>
                <w:lang w:val="en-IE"/>
              </w:rPr>
              <w:t>R.8</w:t>
            </w:r>
            <w:r w:rsidRPr="00530E00">
              <w:rPr>
                <w:b/>
                <w:lang w:val="en-IE"/>
              </w:rPr>
              <w:t xml:space="preserve">: </w:t>
            </w:r>
            <w:r>
              <w:rPr>
                <w:b/>
                <w:lang w:val="en-IE"/>
              </w:rPr>
              <w:t>Targeting farms in sectors in difficulty</w:t>
            </w:r>
          </w:p>
          <w:p w14:paraId="3E377ED4" w14:textId="7D47B042" w:rsidR="007F6589" w:rsidRPr="00530E00" w:rsidRDefault="007F6589" w:rsidP="007F6589">
            <w:pPr>
              <w:jc w:val="both"/>
              <w:rPr>
                <w:b/>
                <w:lang w:val="en-IE"/>
              </w:rPr>
            </w:pPr>
            <w:r w:rsidRPr="007914B7">
              <w:rPr>
                <w:lang w:val="en-IE"/>
              </w:rPr>
              <w:t>Share of farms benefitting from coupled income support for improving competitiveness, sustainability or quality.</w:t>
            </w:r>
          </w:p>
        </w:tc>
      </w:tr>
      <w:tr w:rsidR="00661450" w14:paraId="65BD8D71" w14:textId="77777777" w:rsidTr="00724A4D">
        <w:tc>
          <w:tcPr>
            <w:tcW w:w="2400" w:type="dxa"/>
          </w:tcPr>
          <w:p w14:paraId="6E1B6F78" w14:textId="1B6F4327" w:rsidR="00661450" w:rsidRDefault="00661450" w:rsidP="00724A4D">
            <w:pPr>
              <w:rPr>
                <w:lang w:val="en-IE"/>
              </w:rPr>
            </w:pPr>
            <w:r>
              <w:rPr>
                <w:lang w:val="en-IE"/>
              </w:rPr>
              <w:t>Definition</w:t>
            </w:r>
            <w:r w:rsidR="00701FD8">
              <w:rPr>
                <w:lang w:val="en-IE"/>
              </w:rPr>
              <w:t xml:space="preserve"> and aim</w:t>
            </w:r>
          </w:p>
        </w:tc>
        <w:tc>
          <w:tcPr>
            <w:tcW w:w="6888" w:type="dxa"/>
            <w:gridSpan w:val="2"/>
          </w:tcPr>
          <w:p w14:paraId="56600AFA" w14:textId="2FA7BF98" w:rsidR="00FC529C" w:rsidRDefault="00702AA1" w:rsidP="00724A4D">
            <w:pPr>
              <w:jc w:val="both"/>
              <w:rPr>
                <w:lang w:val="en-IE"/>
              </w:rPr>
            </w:pPr>
            <w:r>
              <w:rPr>
                <w:lang w:val="en-IE"/>
              </w:rPr>
              <w:t xml:space="preserve">This indicator would reflect the extent of the support provided in sectors </w:t>
            </w:r>
            <w:r w:rsidR="008175FB">
              <w:rPr>
                <w:lang w:val="en-IE"/>
              </w:rPr>
              <w:t>undergoing</w:t>
            </w:r>
            <w:r>
              <w:rPr>
                <w:lang w:val="en-IE"/>
              </w:rPr>
              <w:t xml:space="preserve"> difficulties, in terms of share of farms. Such support shall aim at improving the competitiveness, the sustainability or the quality of the production in these sectors. </w:t>
            </w:r>
          </w:p>
          <w:p w14:paraId="498AC95F" w14:textId="19CD572C" w:rsidR="00702AA1" w:rsidRDefault="007E157F" w:rsidP="00724A4D">
            <w:pPr>
              <w:jc w:val="both"/>
              <w:rPr>
                <w:lang w:val="en-IE"/>
              </w:rPr>
            </w:pPr>
            <w:r>
              <w:rPr>
                <w:lang w:val="en-IE"/>
              </w:rPr>
              <w:t xml:space="preserve">For example, </w:t>
            </w:r>
            <w:r w:rsidR="00702AA1">
              <w:rPr>
                <w:lang w:val="en-IE"/>
              </w:rPr>
              <w:t xml:space="preserve">a value of </w:t>
            </w:r>
            <w:r w:rsidR="00724A4D">
              <w:rPr>
                <w:lang w:val="en-IE"/>
              </w:rPr>
              <w:t>1</w:t>
            </w:r>
            <w:r w:rsidR="00702AA1">
              <w:rPr>
                <w:lang w:val="en-IE"/>
              </w:rPr>
              <w:t>0</w:t>
            </w:r>
            <w:r w:rsidR="00FC529C">
              <w:rPr>
                <w:lang w:val="en-IE"/>
              </w:rPr>
              <w:t> </w:t>
            </w:r>
            <w:r w:rsidR="00702AA1">
              <w:rPr>
                <w:lang w:val="en-IE"/>
              </w:rPr>
              <w:t xml:space="preserve">% means </w:t>
            </w:r>
            <w:r>
              <w:rPr>
                <w:lang w:val="en-IE"/>
              </w:rPr>
              <w:t>t</w:t>
            </w:r>
            <w:r w:rsidR="00702AA1">
              <w:rPr>
                <w:lang w:val="en-IE"/>
              </w:rPr>
              <w:t xml:space="preserve">hat </w:t>
            </w:r>
            <w:r w:rsidR="00724A4D">
              <w:rPr>
                <w:lang w:val="en-IE"/>
              </w:rPr>
              <w:t>1</w:t>
            </w:r>
            <w:r w:rsidR="00702AA1">
              <w:rPr>
                <w:lang w:val="en-IE"/>
              </w:rPr>
              <w:t xml:space="preserve">0% of the farms </w:t>
            </w:r>
            <w:r w:rsidR="001158F8">
              <w:rPr>
                <w:lang w:val="en-IE"/>
              </w:rPr>
              <w:t>receive support</w:t>
            </w:r>
            <w:r w:rsidR="008175FB">
              <w:rPr>
                <w:lang w:val="en-IE"/>
              </w:rPr>
              <w:t xml:space="preserve">, under Coupled Income Support, </w:t>
            </w:r>
            <w:r w:rsidR="00702AA1">
              <w:rPr>
                <w:lang w:val="en-IE"/>
              </w:rPr>
              <w:t>to improve the competitiveness, the sustainability or the quality in sectors undergoing difficulties.</w:t>
            </w:r>
          </w:p>
          <w:p w14:paraId="63866FD4" w14:textId="77777777" w:rsidR="00701FD8" w:rsidRDefault="00701FD8" w:rsidP="00724A4D">
            <w:pPr>
              <w:jc w:val="both"/>
              <w:rPr>
                <w:lang w:val="en-IE"/>
              </w:rPr>
            </w:pPr>
          </w:p>
          <w:p w14:paraId="00C3771F" w14:textId="18574364" w:rsidR="00661450" w:rsidRPr="00193B83" w:rsidRDefault="00661450" w:rsidP="00CF1926">
            <w:pPr>
              <w:jc w:val="both"/>
              <w:rPr>
                <w:lang w:val="en-IE"/>
              </w:rPr>
            </w:pPr>
            <w:r w:rsidRPr="007914B7">
              <w:rPr>
                <w:lang w:val="en-IE"/>
              </w:rPr>
              <w:t xml:space="preserve">This indicator is a single aggregate for all sectors </w:t>
            </w:r>
            <w:r w:rsidR="00724A4D">
              <w:rPr>
                <w:lang w:val="en-IE"/>
              </w:rPr>
              <w:t xml:space="preserve">actually </w:t>
            </w:r>
            <w:r w:rsidRPr="007914B7">
              <w:rPr>
                <w:lang w:val="en-IE"/>
              </w:rPr>
              <w:t>covered by C</w:t>
            </w:r>
            <w:r w:rsidR="00FC529C">
              <w:rPr>
                <w:lang w:val="en-IE"/>
              </w:rPr>
              <w:t xml:space="preserve">oupled </w:t>
            </w:r>
            <w:r w:rsidRPr="007914B7">
              <w:rPr>
                <w:lang w:val="en-IE"/>
              </w:rPr>
              <w:t>I</w:t>
            </w:r>
            <w:r w:rsidR="00FC529C">
              <w:rPr>
                <w:lang w:val="en-IE"/>
              </w:rPr>
              <w:t xml:space="preserve">ncome </w:t>
            </w:r>
            <w:r w:rsidRPr="007914B7">
              <w:rPr>
                <w:lang w:val="en-IE"/>
              </w:rPr>
              <w:t>S</w:t>
            </w:r>
            <w:r w:rsidR="00FC529C">
              <w:rPr>
                <w:lang w:val="en-IE"/>
              </w:rPr>
              <w:t>upport</w:t>
            </w:r>
            <w:r w:rsidR="00724A4D">
              <w:rPr>
                <w:lang w:val="en-IE"/>
              </w:rPr>
              <w:t xml:space="preserve"> </w:t>
            </w:r>
            <w:r w:rsidR="00701FD8">
              <w:rPr>
                <w:lang w:val="en-IE"/>
              </w:rPr>
              <w:t xml:space="preserve">(CIS) </w:t>
            </w:r>
            <w:r w:rsidR="00724A4D">
              <w:rPr>
                <w:lang w:val="en-IE"/>
              </w:rPr>
              <w:t>in the respective MS</w:t>
            </w:r>
            <w:r w:rsidRPr="007914B7">
              <w:rPr>
                <w:lang w:val="en-IE"/>
              </w:rPr>
              <w:t xml:space="preserve">. </w:t>
            </w:r>
          </w:p>
        </w:tc>
      </w:tr>
      <w:tr w:rsidR="001E3F49" w14:paraId="295B8C55" w14:textId="77777777" w:rsidTr="00724A4D">
        <w:tc>
          <w:tcPr>
            <w:tcW w:w="2400" w:type="dxa"/>
          </w:tcPr>
          <w:p w14:paraId="292226DD" w14:textId="192C5A57" w:rsidR="001E3F49" w:rsidRDefault="001E3F49" w:rsidP="00724A4D">
            <w:pPr>
              <w:rPr>
                <w:lang w:val="en-IE"/>
              </w:rPr>
            </w:pPr>
            <w:r>
              <w:rPr>
                <w:lang w:val="en-IE"/>
              </w:rPr>
              <w:t>Types of intervention concerned</w:t>
            </w:r>
          </w:p>
        </w:tc>
        <w:tc>
          <w:tcPr>
            <w:tcW w:w="6888" w:type="dxa"/>
            <w:gridSpan w:val="2"/>
          </w:tcPr>
          <w:p w14:paraId="2B480800" w14:textId="77777777" w:rsidR="000E7168" w:rsidRDefault="001E3F49" w:rsidP="00724A4D">
            <w:pPr>
              <w:jc w:val="both"/>
              <w:rPr>
                <w:lang w:val="en-IE"/>
              </w:rPr>
            </w:pPr>
            <w:r>
              <w:rPr>
                <w:lang w:val="en-IE"/>
              </w:rPr>
              <w:t>All area-based and animal-based coupled income support interventions</w:t>
            </w:r>
            <w:r w:rsidR="00F53E6F">
              <w:rPr>
                <w:lang w:val="en-IE"/>
              </w:rPr>
              <w:t xml:space="preserve"> (articles 29-33)</w:t>
            </w:r>
            <w:r>
              <w:rPr>
                <w:lang w:val="en-IE"/>
              </w:rPr>
              <w:t xml:space="preserve">. </w:t>
            </w:r>
          </w:p>
          <w:p w14:paraId="03D51CDC" w14:textId="77777777" w:rsidR="000E7168" w:rsidRDefault="000E7168" w:rsidP="00724A4D">
            <w:pPr>
              <w:jc w:val="both"/>
              <w:rPr>
                <w:lang w:val="en-IE"/>
              </w:rPr>
            </w:pPr>
          </w:p>
          <w:p w14:paraId="1E39C587" w14:textId="5D619670" w:rsidR="001E3F49" w:rsidRPr="007914B7" w:rsidRDefault="001E3F49" w:rsidP="00724A4D">
            <w:pPr>
              <w:jc w:val="both"/>
              <w:rPr>
                <w:lang w:val="en-IE"/>
              </w:rPr>
            </w:pPr>
            <w:r>
              <w:rPr>
                <w:lang w:val="en-IE"/>
              </w:rPr>
              <w:t>N.B.: It does not include the crop-specific payment for cotton.</w:t>
            </w:r>
          </w:p>
        </w:tc>
      </w:tr>
      <w:tr w:rsidR="00701FD8" w14:paraId="4DDC829C" w14:textId="77777777" w:rsidTr="009F670D">
        <w:tc>
          <w:tcPr>
            <w:tcW w:w="2400" w:type="dxa"/>
          </w:tcPr>
          <w:p w14:paraId="7839A9F0" w14:textId="77777777" w:rsidR="00701FD8" w:rsidRDefault="00701FD8" w:rsidP="009F670D">
            <w:pPr>
              <w:rPr>
                <w:lang w:val="en-IE"/>
              </w:rPr>
            </w:pPr>
            <w:r>
              <w:rPr>
                <w:lang w:val="en-IE"/>
              </w:rPr>
              <w:t>Unit of measurement</w:t>
            </w:r>
          </w:p>
        </w:tc>
        <w:tc>
          <w:tcPr>
            <w:tcW w:w="6888" w:type="dxa"/>
            <w:gridSpan w:val="2"/>
          </w:tcPr>
          <w:p w14:paraId="57395772" w14:textId="77777777" w:rsidR="00701FD8" w:rsidRPr="007914B7" w:rsidRDefault="00701FD8" w:rsidP="009F670D">
            <w:pPr>
              <w:jc w:val="both"/>
              <w:rPr>
                <w:b/>
                <w:lang w:val="en-IE"/>
              </w:rPr>
            </w:pPr>
            <w:r>
              <w:rPr>
                <w:b/>
                <w:lang w:val="en-IE"/>
              </w:rPr>
              <w:t>%</w:t>
            </w:r>
          </w:p>
        </w:tc>
      </w:tr>
      <w:tr w:rsidR="00701FD8" w14:paraId="56A9C230" w14:textId="77777777" w:rsidTr="009F670D">
        <w:tc>
          <w:tcPr>
            <w:tcW w:w="2412" w:type="dxa"/>
            <w:gridSpan w:val="2"/>
          </w:tcPr>
          <w:p w14:paraId="1F8B7E7B" w14:textId="77777777" w:rsidR="00701FD8" w:rsidRDefault="00701FD8" w:rsidP="009F670D">
            <w:pPr>
              <w:rPr>
                <w:lang w:val="en-IE"/>
              </w:rPr>
            </w:pPr>
            <w:r w:rsidRPr="00BA580F">
              <w:rPr>
                <w:lang w:val="en-IE"/>
              </w:rPr>
              <w:t>Moment of data collection</w:t>
            </w:r>
            <w:r w:rsidRPr="00BA580F">
              <w:rPr>
                <w:lang w:val="en-IE"/>
              </w:rPr>
              <w:tab/>
            </w:r>
          </w:p>
        </w:tc>
        <w:tc>
          <w:tcPr>
            <w:tcW w:w="6876" w:type="dxa"/>
          </w:tcPr>
          <w:p w14:paraId="457FE610" w14:textId="3E15C854" w:rsidR="00701FD8" w:rsidRPr="008A65BA" w:rsidRDefault="001158F8" w:rsidP="00B11787">
            <w:pPr>
              <w:rPr>
                <w:u w:val="single"/>
              </w:rPr>
            </w:pPr>
            <w:r>
              <w:rPr>
                <w:lang w:val="en-IE"/>
              </w:rPr>
              <w:t>B</w:t>
            </w:r>
            <w:r w:rsidR="00A83A35">
              <w:rPr>
                <w:lang w:val="en-IE"/>
              </w:rPr>
              <w:t xml:space="preserve">eneficiaries </w:t>
            </w:r>
            <w:r w:rsidR="00701FD8">
              <w:rPr>
                <w:lang w:val="en-IE"/>
              </w:rPr>
              <w:t>paid in Financial Year</w:t>
            </w:r>
            <w:r w:rsidR="00B11787">
              <w:rPr>
                <w:lang w:val="en-IE"/>
              </w:rPr>
              <w:t xml:space="preserve"> concerned</w:t>
            </w:r>
            <w:r w:rsidR="00701FD8">
              <w:rPr>
                <w:lang w:val="en-IE"/>
              </w:rPr>
              <w:t>.</w:t>
            </w:r>
          </w:p>
        </w:tc>
      </w:tr>
      <w:tr w:rsidR="00661450" w14:paraId="3F85F143" w14:textId="77777777" w:rsidTr="00724A4D">
        <w:tc>
          <w:tcPr>
            <w:tcW w:w="2400" w:type="dxa"/>
          </w:tcPr>
          <w:p w14:paraId="4054D37D" w14:textId="77777777" w:rsidR="00701FD8" w:rsidRDefault="00701FD8" w:rsidP="00701FD8">
            <w:pPr>
              <w:rPr>
                <w:lang w:val="en-IE"/>
              </w:rPr>
            </w:pPr>
            <w:r>
              <w:rPr>
                <w:lang w:val="en-IE"/>
              </w:rPr>
              <w:t>Methodology</w:t>
            </w:r>
          </w:p>
          <w:p w14:paraId="13E2B030" w14:textId="77777777" w:rsidR="00661450" w:rsidRDefault="00661450" w:rsidP="00724A4D">
            <w:pPr>
              <w:rPr>
                <w:lang w:val="en-IE"/>
              </w:rPr>
            </w:pPr>
          </w:p>
        </w:tc>
        <w:tc>
          <w:tcPr>
            <w:tcW w:w="6888" w:type="dxa"/>
            <w:gridSpan w:val="2"/>
          </w:tcPr>
          <w:p w14:paraId="2B1FB63B" w14:textId="39416AF6" w:rsidR="00701FD8" w:rsidRPr="008A65BA" w:rsidRDefault="00701FD8" w:rsidP="00701FD8">
            <w:pPr>
              <w:jc w:val="center"/>
              <w:rPr>
                <w:u w:val="single"/>
              </w:rPr>
            </w:pPr>
            <w:r w:rsidRPr="008A65BA">
              <w:rPr>
                <w:u w:val="single"/>
              </w:rPr>
              <w:t xml:space="preserve">Number of </w:t>
            </w:r>
            <w:r w:rsidR="00E51237">
              <w:rPr>
                <w:u w:val="single"/>
              </w:rPr>
              <w:t>farms receiving</w:t>
            </w:r>
            <w:r>
              <w:rPr>
                <w:u w:val="single"/>
              </w:rPr>
              <w:t xml:space="preserve"> coupled income</w:t>
            </w:r>
            <w:r w:rsidRPr="008A65BA">
              <w:rPr>
                <w:u w:val="single"/>
              </w:rPr>
              <w:t xml:space="preserve"> support</w:t>
            </w:r>
          </w:p>
          <w:p w14:paraId="7A9EB9FD" w14:textId="77777777" w:rsidR="00701FD8" w:rsidRDefault="00701FD8" w:rsidP="00701FD8">
            <w:pPr>
              <w:jc w:val="center"/>
              <w:rPr>
                <w:lang w:val="en-IE"/>
              </w:rPr>
            </w:pPr>
            <w:r>
              <w:rPr>
                <w:lang w:val="en-IE"/>
              </w:rPr>
              <w:t xml:space="preserve">Total number of farms </w:t>
            </w:r>
          </w:p>
          <w:p w14:paraId="5B17C218" w14:textId="17CE6562" w:rsidR="00701FD8" w:rsidRPr="000E7168" w:rsidRDefault="00701FD8" w:rsidP="00CF1926">
            <w:pPr>
              <w:jc w:val="both"/>
              <w:rPr>
                <w:lang w:val="en-IE"/>
              </w:rPr>
            </w:pPr>
          </w:p>
          <w:p w14:paraId="7F61CD8D" w14:textId="77777777" w:rsidR="00701FD8" w:rsidRDefault="001E3F49" w:rsidP="00CF1926">
            <w:pPr>
              <w:jc w:val="both"/>
              <w:rPr>
                <w:lang w:val="en-IE"/>
              </w:rPr>
            </w:pPr>
            <w:r w:rsidRPr="00CF1926">
              <w:rPr>
                <w:u w:val="single"/>
                <w:lang w:val="en-IE"/>
              </w:rPr>
              <w:t>Numerator</w:t>
            </w:r>
            <w:r w:rsidRPr="00701FD8">
              <w:rPr>
                <w:lang w:val="en-IE"/>
              </w:rPr>
              <w:t xml:space="preserve">: </w:t>
            </w:r>
          </w:p>
          <w:p w14:paraId="2FCDCA40" w14:textId="4696F26D" w:rsidR="001E3F49" w:rsidRPr="00701FD8" w:rsidRDefault="00701FD8" w:rsidP="00CF1926">
            <w:pPr>
              <w:jc w:val="both"/>
              <w:rPr>
                <w:lang w:val="en-IE"/>
              </w:rPr>
            </w:pPr>
            <w:r>
              <w:rPr>
                <w:lang w:val="en-IE"/>
              </w:rPr>
              <w:t>T</w:t>
            </w:r>
            <w:r w:rsidR="001E3F49" w:rsidRPr="00701FD8">
              <w:rPr>
                <w:lang w:val="en-IE"/>
              </w:rPr>
              <w:t>otal number of farms benefitting (i.e. actually paid</w:t>
            </w:r>
            <w:r w:rsidR="00B11787">
              <w:rPr>
                <w:lang w:val="en-IE"/>
              </w:rPr>
              <w:t xml:space="preserve"> in Financial Year concerned</w:t>
            </w:r>
            <w:r w:rsidR="001E3F49" w:rsidRPr="00701FD8">
              <w:rPr>
                <w:lang w:val="en-IE"/>
              </w:rPr>
              <w:t>) from CIS (regional + national interventions)</w:t>
            </w:r>
            <w:r>
              <w:rPr>
                <w:lang w:val="en-IE"/>
              </w:rPr>
              <w:t>.</w:t>
            </w:r>
          </w:p>
          <w:p w14:paraId="04D4C408" w14:textId="3E8A0B9E" w:rsidR="001E3F49" w:rsidRDefault="001E3F49" w:rsidP="00CF1926">
            <w:pPr>
              <w:jc w:val="both"/>
              <w:rPr>
                <w:lang w:val="en-IE"/>
              </w:rPr>
            </w:pPr>
            <w:r w:rsidRPr="00B618C4">
              <w:rPr>
                <w:u w:val="single"/>
                <w:lang w:val="en-IE"/>
              </w:rPr>
              <w:t>Warning</w:t>
            </w:r>
            <w:r w:rsidRPr="00B618C4">
              <w:rPr>
                <w:lang w:val="en-IE"/>
              </w:rPr>
              <w:t xml:space="preserve">: </w:t>
            </w:r>
            <w:r w:rsidR="000D2FEB">
              <w:rPr>
                <w:lang w:val="en-IE"/>
              </w:rPr>
              <w:t>No</w:t>
            </w:r>
            <w:r w:rsidRPr="00B618C4">
              <w:rPr>
                <w:lang w:val="en-IE"/>
              </w:rPr>
              <w:t xml:space="preserve"> double counting, each beneficiary </w:t>
            </w:r>
            <w:proofErr w:type="gramStart"/>
            <w:r w:rsidRPr="00B618C4">
              <w:rPr>
                <w:lang w:val="en-IE"/>
              </w:rPr>
              <w:t>shall be counted</w:t>
            </w:r>
            <w:proofErr w:type="gramEnd"/>
            <w:r w:rsidRPr="00B618C4">
              <w:rPr>
                <w:lang w:val="en-IE"/>
              </w:rPr>
              <w:t xml:space="preserve"> only once</w:t>
            </w:r>
            <w:r w:rsidR="000D2FEB">
              <w:rPr>
                <w:lang w:val="en-IE"/>
              </w:rPr>
              <w:t>, even if this beneficiary benefits from support under more than one CIS intervention</w:t>
            </w:r>
            <w:r w:rsidRPr="00B618C4">
              <w:rPr>
                <w:lang w:val="en-IE"/>
              </w:rPr>
              <w:t>.</w:t>
            </w:r>
          </w:p>
          <w:p w14:paraId="146F115F" w14:textId="77777777" w:rsidR="00193B83" w:rsidRDefault="00193B83" w:rsidP="00193B83">
            <w:pPr>
              <w:ind w:left="720"/>
              <w:jc w:val="both"/>
              <w:rPr>
                <w:lang w:val="en-IE"/>
              </w:rPr>
            </w:pPr>
          </w:p>
          <w:p w14:paraId="15203AC7" w14:textId="0786663B" w:rsidR="00701FD8" w:rsidRDefault="00701FD8" w:rsidP="00701FD8">
            <w:pPr>
              <w:rPr>
                <w:lang w:val="en-IE"/>
              </w:rPr>
            </w:pPr>
            <w:r w:rsidRPr="00915AE5">
              <w:rPr>
                <w:u w:val="single"/>
                <w:lang w:val="en-IE"/>
              </w:rPr>
              <w:t>Denominator</w:t>
            </w:r>
            <w:r>
              <w:rPr>
                <w:lang w:val="en-IE"/>
              </w:rPr>
              <w:t xml:space="preserve">: </w:t>
            </w:r>
          </w:p>
          <w:p w14:paraId="2F8C96E7" w14:textId="6D0B95AC" w:rsidR="001E3F49" w:rsidRPr="00701FD8" w:rsidRDefault="00701FD8" w:rsidP="00CF1926">
            <w:pPr>
              <w:jc w:val="both"/>
              <w:rPr>
                <w:lang w:val="en-IE"/>
              </w:rPr>
            </w:pPr>
            <w:r w:rsidRPr="00701FD8">
              <w:rPr>
                <w:lang w:val="en-IE"/>
              </w:rPr>
              <w:t>Total number of farms -  EUROSTAT (Farm structure survey)</w:t>
            </w:r>
          </w:p>
        </w:tc>
      </w:tr>
      <w:tr w:rsidR="00661450" w:rsidRPr="00956EBE" w14:paraId="78B70913" w14:textId="77777777" w:rsidTr="00724A4D">
        <w:tc>
          <w:tcPr>
            <w:tcW w:w="2400" w:type="dxa"/>
          </w:tcPr>
          <w:p w14:paraId="4FAF60E7" w14:textId="77777777" w:rsidR="00661450" w:rsidRDefault="00661450" w:rsidP="00724A4D">
            <w:pPr>
              <w:rPr>
                <w:lang w:val="en-IE"/>
              </w:rPr>
            </w:pPr>
            <w:r>
              <w:rPr>
                <w:lang w:val="en-IE"/>
              </w:rPr>
              <w:t>Comments/caveats</w:t>
            </w:r>
          </w:p>
        </w:tc>
        <w:tc>
          <w:tcPr>
            <w:tcW w:w="6888" w:type="dxa"/>
            <w:gridSpan w:val="2"/>
          </w:tcPr>
          <w:p w14:paraId="09E6DCF3" w14:textId="08963084" w:rsidR="00701FD8" w:rsidRPr="00CF1926" w:rsidRDefault="00FC529C" w:rsidP="008175FB">
            <w:pPr>
              <w:jc w:val="both"/>
              <w:rPr>
                <w:lang w:val="en-IE"/>
              </w:rPr>
            </w:pPr>
            <w:r>
              <w:rPr>
                <w:lang w:val="en-IE"/>
              </w:rPr>
              <w:t xml:space="preserve">This indicator </w:t>
            </w:r>
            <w:proofErr w:type="gramStart"/>
            <w:r>
              <w:rPr>
                <w:lang w:val="en-IE"/>
              </w:rPr>
              <w:t>is not broken down</w:t>
            </w:r>
            <w:proofErr w:type="gramEnd"/>
            <w:r>
              <w:rPr>
                <w:lang w:val="en-IE"/>
              </w:rPr>
              <w:t xml:space="preserve"> by sector for simplification. A breakdown per sector </w:t>
            </w:r>
            <w:r w:rsidRPr="007914B7">
              <w:rPr>
                <w:lang w:val="en-IE"/>
              </w:rPr>
              <w:t xml:space="preserve">would mean having </w:t>
            </w:r>
            <w:r>
              <w:rPr>
                <w:lang w:val="en-IE"/>
              </w:rPr>
              <w:t xml:space="preserve">up to </w:t>
            </w:r>
            <w:r w:rsidRPr="007914B7">
              <w:rPr>
                <w:lang w:val="en-IE"/>
              </w:rPr>
              <w:t xml:space="preserve">22 sub-indicators, which </w:t>
            </w:r>
            <w:r>
              <w:rPr>
                <w:lang w:val="en-IE"/>
              </w:rPr>
              <w:t>would</w:t>
            </w:r>
            <w:r w:rsidRPr="007914B7">
              <w:rPr>
                <w:lang w:val="en-IE"/>
              </w:rPr>
              <w:t xml:space="preserve"> be quite extensive and burdensome for MS</w:t>
            </w:r>
            <w:r w:rsidR="001158F8">
              <w:rPr>
                <w:lang w:val="en-IE"/>
              </w:rPr>
              <w:t>.</w:t>
            </w:r>
            <w:r>
              <w:rPr>
                <w:lang w:val="en-IE"/>
              </w:rPr>
              <w:t xml:space="preserve"> </w:t>
            </w:r>
            <w:r w:rsidRPr="007914B7">
              <w:rPr>
                <w:lang w:val="en-IE"/>
              </w:rPr>
              <w:t xml:space="preserve">In any case, if </w:t>
            </w:r>
            <w:r>
              <w:rPr>
                <w:lang w:val="en-IE"/>
              </w:rPr>
              <w:t>needed for</w:t>
            </w:r>
            <w:r w:rsidRPr="007914B7">
              <w:rPr>
                <w:lang w:val="en-IE"/>
              </w:rPr>
              <w:t xml:space="preserve"> analytical purposes, the </w:t>
            </w:r>
            <w:r>
              <w:rPr>
                <w:lang w:val="en-IE"/>
              </w:rPr>
              <w:t xml:space="preserve">outputs </w:t>
            </w:r>
            <w:r w:rsidRPr="007914B7">
              <w:rPr>
                <w:lang w:val="en-IE"/>
              </w:rPr>
              <w:t xml:space="preserve">O.9 and O.10 </w:t>
            </w:r>
            <w:proofErr w:type="gramStart"/>
            <w:r>
              <w:rPr>
                <w:lang w:val="en-IE"/>
              </w:rPr>
              <w:t>can be used</w:t>
            </w:r>
            <w:proofErr w:type="gramEnd"/>
            <w:r w:rsidRPr="007914B7">
              <w:rPr>
                <w:lang w:val="en-IE"/>
              </w:rPr>
              <w:t>.</w:t>
            </w:r>
          </w:p>
        </w:tc>
      </w:tr>
    </w:tbl>
    <w:p w14:paraId="113D1AE7" w14:textId="351E7C49" w:rsidR="007914B7" w:rsidRPr="007914B7" w:rsidRDefault="007914B7" w:rsidP="00701FD8">
      <w:pPr>
        <w:rPr>
          <w:b/>
          <w:lang w:val="en-IE"/>
        </w:rPr>
      </w:pPr>
    </w:p>
    <w:sectPr w:rsidR="007914B7" w:rsidRPr="007914B7">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1C841C" w14:textId="77777777" w:rsidR="00724A4D" w:rsidRDefault="00724A4D" w:rsidP="006A220C">
      <w:pPr>
        <w:spacing w:after="0" w:line="240" w:lineRule="auto"/>
      </w:pPr>
      <w:r>
        <w:separator/>
      </w:r>
    </w:p>
  </w:endnote>
  <w:endnote w:type="continuationSeparator" w:id="0">
    <w:p w14:paraId="109B38F9" w14:textId="77777777" w:rsidR="00724A4D" w:rsidRDefault="00724A4D" w:rsidP="006A22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FF24D3" w14:textId="77777777" w:rsidR="00305209" w:rsidRDefault="003052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9EE487" w14:textId="014817B4" w:rsidR="00305209" w:rsidRDefault="00305209" w:rsidP="00305209">
    <w:pPr>
      <w:pStyle w:val="Header"/>
      <w:jc w:val="center"/>
      <w:rPr>
        <w:caps/>
        <w:color w:val="4F81BD" w:themeColor="accent1"/>
      </w:rPr>
    </w:pPr>
    <w:r>
      <w:rPr>
        <w:noProof/>
        <w:lang w:eastAsia="en-GB"/>
      </w:rPr>
      <mc:AlternateContent>
        <mc:Choice Requires="wps">
          <w:drawing>
            <wp:anchor distT="0" distB="0" distL="118745" distR="118745" simplePos="0" relativeHeight="251661312" behindDoc="1" locked="0" layoutInCell="1" allowOverlap="0" wp14:anchorId="66651B09" wp14:editId="212CC336">
              <wp:simplePos x="0" y="0"/>
              <wp:positionH relativeFrom="margin">
                <wp:align>center</wp:align>
              </wp:positionH>
              <mc:AlternateContent>
                <mc:Choice Requires="wp14">
                  <wp:positionV relativeFrom="page">
                    <wp14:pctPosVOffset>4500</wp14:pctPosVOffset>
                  </wp:positionV>
                </mc:Choice>
                <mc:Fallback>
                  <wp:positionV relativeFrom="page">
                    <wp:posOffset>480695</wp:posOffset>
                  </wp:positionV>
                </mc:Fallback>
              </mc:AlternateContent>
              <wp:extent cx="7312025" cy="271780"/>
              <wp:effectExtent l="0" t="0" r="0" b="0"/>
              <wp:wrapSquare wrapText="bothSides"/>
              <wp:docPr id="1" name="Rectangle 1"/>
              <wp:cNvGraphicFramePr/>
              <a:graphic xmlns:a="http://schemas.openxmlformats.org/drawingml/2006/main">
                <a:graphicData uri="http://schemas.microsoft.com/office/word/2010/wordprocessingShape">
                  <wps:wsp>
                    <wps:cNvSpPr/>
                    <wps:spPr>
                      <a:xfrm>
                        <a:off x="0" y="0"/>
                        <a:ext cx="5943600" cy="287655"/>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color w:val="FFFFFF" w:themeColor="background1"/>
                            </w:rPr>
                            <w:alias w:val="Title"/>
                            <w:id w:val="-183369958"/>
                            <w:dataBinding w:prefixMappings="xmlns:ns0='http://purl.org/dc/elements/1.1/' xmlns:ns1='http://schemas.openxmlformats.org/package/2006/metadata/core-properties' " w:xpath="/ns1:coreProperties[1]/ns0:title[1]" w:storeItemID="{6C3C8BC8-F283-45AE-878A-BAB7291924A1}"/>
                            <w:text/>
                          </w:sdtPr>
                          <w:sdtContent>
                            <w:p w14:paraId="0449C399" w14:textId="039D83D0" w:rsidR="00305209" w:rsidRDefault="00305209" w:rsidP="00305209">
                              <w:pPr>
                                <w:pStyle w:val="Header"/>
                                <w:jc w:val="center"/>
                                <w:rPr>
                                  <w:caps/>
                                  <w:color w:val="FFFFFF" w:themeColor="background1"/>
                                </w:rPr>
                              </w:pPr>
                              <w:r>
                                <w:rPr>
                                  <w:color w:val="FFFFFF" w:themeColor="background1"/>
                                </w:rPr>
                                <w:t>Common result indicators used for reporting in the APR</w:t>
                              </w:r>
                            </w:p>
                          </w:sdtContent>
                        </w:sdt>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14:sizeRelH relativeFrom="margin">
                <wp14:pctWidth>100000</wp14:pctWidth>
              </wp14:sizeRelH>
              <wp14:sizeRelV relativeFrom="page">
                <wp14:pctHeight>2700</wp14:pctHeight>
              </wp14:sizeRelV>
            </wp:anchor>
          </w:drawing>
        </mc:Choice>
        <mc:Fallback>
          <w:pict>
            <v:rect w14:anchorId="66651B09" id="Rectangle 1" o:spid="_x0000_s1027" style="position:absolute;left:0;text-align:left;margin-left:0;margin-top:0;width:575.75pt;height:21.4pt;z-index:-251655168;visibility:visible;mso-wrap-style:square;mso-width-percent:1000;mso-height-percent:27;mso-top-percent:45;mso-wrap-distance-left:9.35pt;mso-wrap-distance-top:0;mso-wrap-distance-right:9.35pt;mso-wrap-distance-bottom:0;mso-position-horizontal:center;mso-position-horizontal-relative:margin;mso-position-vertical-relative:page;mso-width-percent:1000;mso-height-percent:27;mso-top-percent:45;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" o:allowoverlap="f" fillcolor="#4f81bd [3204]" stroked="f" strokeweight="2pt">
              <v:textbox style="mso-fit-shape-to-text:t">
                <w:txbxContent>
                  <w:sdt>
                    <w:sdtPr>
                      <w:rPr>
                        <w:color w:val="FFFFFF" w:themeColor="background1"/>
                      </w:rPr>
                      <w:alias w:val="Title"/>
                      <w:id w:val="-183369958"/>
                      <w:dataBinding w:prefixMappings="xmlns:ns0='http://purl.org/dc/elements/1.1/' xmlns:ns1='http://schemas.openxmlformats.org/package/2006/metadata/core-properties' " w:xpath="/ns1:coreProperties[1]/ns0:title[1]" w:storeItemID="{6C3C8BC8-F283-45AE-878A-BAB7291924A1}"/>
                      <w:text/>
                    </w:sdtPr>
                    <w:sdtContent>
                      <w:p w14:paraId="0449C399" w14:textId="039D83D0" w:rsidR="00305209" w:rsidRDefault="00305209" w:rsidP="00305209">
                        <w:pPr>
                          <w:pStyle w:val="Header"/>
                          <w:jc w:val="center"/>
                          <w:rPr>
                            <w:caps/>
                            <w:color w:val="FFFFFF" w:themeColor="background1"/>
                          </w:rPr>
                        </w:pPr>
                        <w:r>
                          <w:rPr>
                            <w:color w:val="FFFFFF" w:themeColor="background1"/>
                          </w:rPr>
                          <w:t>Common result indicators used for reporting in the APR</w:t>
                        </w:r>
                      </w:p>
                    </w:sdtContent>
                  </w:sdt>
                </w:txbxContent>
              </v:textbox>
              <w10:wrap type="square" anchorx="margin" anchory="page"/>
            </v:rect>
          </w:pict>
        </mc:Fallback>
      </mc:AlternateContent>
    </w:r>
    <w:bookmarkStart w:id="0" w:name="_GoBack"/>
    <w:bookmarkEnd w:id="0"/>
    <w:r>
      <w:rPr>
        <w:caps/>
        <w:color w:val="4F81BD" w:themeColor="accent1"/>
      </w:rPr>
      <w:t>DISCLAIMER</w:t>
    </w:r>
  </w:p>
  <w:p w14:paraId="34B1FC37" w14:textId="77777777" w:rsidR="00305209" w:rsidRDefault="00305209" w:rsidP="00305209">
    <w:pPr>
      <w:pStyle w:val="Footer"/>
      <w:jc w:val="center"/>
      <w:rPr>
        <w:caps/>
        <w:color w:val="4F81BD" w:themeColor="accent1"/>
      </w:rPr>
    </w:pPr>
  </w:p>
  <w:p w14:paraId="6F8A4F29" w14:textId="7BAE0A12" w:rsidR="00724A4D" w:rsidRDefault="00305209" w:rsidP="00305209">
    <w:pPr>
      <w:pStyle w:val="Footer"/>
      <w:jc w:val="center"/>
    </w:pPr>
    <w:r>
      <w:rPr>
        <w:color w:val="4F81BD" w:themeColor="accent1"/>
      </w:rPr>
      <w:t>This document is only intended to facilitate the work of the working party on horizontal questions in the context of the ordinary legislative procedure. This document does not anticipate any content of any legislative act. It has no interpretative value.</w:t>
    </w:r>
    <w:r>
      <w:rPr>
        <w:noProof/>
        <w:color w:val="4F81BD" w:themeColor="accent1"/>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A44941" w14:textId="77777777" w:rsidR="00305209" w:rsidRDefault="003052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4855C7" w14:textId="77777777" w:rsidR="00724A4D" w:rsidRDefault="00724A4D" w:rsidP="006A220C">
      <w:pPr>
        <w:spacing w:after="0" w:line="240" w:lineRule="auto"/>
      </w:pPr>
      <w:r>
        <w:separator/>
      </w:r>
    </w:p>
  </w:footnote>
  <w:footnote w:type="continuationSeparator" w:id="0">
    <w:p w14:paraId="04AE561E" w14:textId="77777777" w:rsidR="00724A4D" w:rsidRDefault="00724A4D" w:rsidP="006A22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E2D1D1" w14:textId="77777777" w:rsidR="00305209" w:rsidRDefault="0030520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755F6F" w14:textId="73228413" w:rsidR="009C3B5D" w:rsidRDefault="009C3B5D">
    <w:pPr>
      <w:pStyle w:val="Header"/>
    </w:pPr>
    <w:r>
      <w:rPr>
        <w:noProof/>
        <w:lang w:eastAsia="en-GB"/>
      </w:rPr>
      <mc:AlternateContent>
        <mc:Choice Requires="wps">
          <w:drawing>
            <wp:anchor distT="0" distB="0" distL="118745" distR="118745" simplePos="0" relativeHeight="251659264" behindDoc="1" locked="0" layoutInCell="1" allowOverlap="0" wp14:anchorId="0E31C876" wp14:editId="26E41E93">
              <wp:simplePos x="0" y="0"/>
              <wp:positionH relativeFrom="margin">
                <wp:align>center</wp:align>
              </wp:positionH>
              <mc:AlternateContent>
                <mc:Choice Requires="wp14">
                  <wp:positionV relativeFrom="page">
                    <wp14:pctPosVOffset>4500</wp14:pctPosVOffset>
                  </wp:positionV>
                </mc:Choice>
                <mc:Fallback>
                  <wp:positionV relativeFrom="page">
                    <wp:posOffset>480695</wp:posOffset>
                  </wp:positionV>
                </mc:Fallback>
              </mc:AlternateContent>
              <wp:extent cx="5950039" cy="270457"/>
              <wp:effectExtent l="0" t="0" r="0" b="7620"/>
              <wp:wrapSquare wrapText="bothSides"/>
              <wp:docPr id="197" name="Rectangle 197"/>
              <wp:cNvGraphicFramePr/>
              <a:graphic xmlns:a="http://schemas.openxmlformats.org/drawingml/2006/main">
                <a:graphicData uri="http://schemas.microsoft.com/office/word/2010/wordprocessingShape">
                  <wps:wsp>
                    <wps:cNvSpPr/>
                    <wps:spPr>
                      <a:xfrm>
                        <a:off x="0" y="0"/>
                        <a:ext cx="5950039" cy="270457"/>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color w:val="FFFFFF" w:themeColor="background1"/>
                            </w:rPr>
                            <w:alias w:val="Title"/>
                            <w:tag w:val=""/>
                            <w:id w:val="1189017394"/>
                            <w:dataBinding w:prefixMappings="xmlns:ns0='http://purl.org/dc/elements/1.1/' xmlns:ns1='http://schemas.openxmlformats.org/package/2006/metadata/core-properties' " w:xpath="/ns1:coreProperties[1]/ns0:title[1]" w:storeItemID="{6C3C8BC8-F283-45AE-878A-BAB7291924A1}"/>
                            <w:text/>
                          </w:sdtPr>
                          <w:sdtEndPr/>
                          <w:sdtContent>
                            <w:p w14:paraId="1D302B88" w14:textId="3C648A61" w:rsidR="009C3B5D" w:rsidRDefault="009C3B5D">
                              <w:pPr>
                                <w:pStyle w:val="Header"/>
                                <w:jc w:val="center"/>
                                <w:rPr>
                                  <w:caps/>
                                  <w:color w:val="FFFFFF" w:themeColor="background1"/>
                                </w:rPr>
                              </w:pPr>
                              <w:r w:rsidRPr="009C3B5D">
                                <w:rPr>
                                  <w:color w:val="FFFFFF" w:themeColor="background1"/>
                                </w:rPr>
                                <w:t>Common result indicators used for reporting in the APR</w:t>
                              </w:r>
                            </w:p>
                          </w:sdtContent>
                        </w:sdt>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14:sizeRelH relativeFrom="margin">
                <wp14:pctWidth>100000</wp14:pctWidth>
              </wp14:sizeRelH>
              <wp14:sizeRelV relativeFrom="page">
                <wp14:pctHeight>2700</wp14:pctHeight>
              </wp14:sizeRelV>
            </wp:anchor>
          </w:drawing>
        </mc:Choice>
        <mc:Fallback>
          <w:pict>
            <v:rect w14:anchorId="0E31C876" id="Rectangle 197" o:spid="_x0000_s1026" style="position:absolute;margin-left:0;margin-top:0;width:468.5pt;height:21.3pt;z-index:-251657216;visibility:visible;mso-wrap-style:square;mso-width-percent:1000;mso-height-percent:27;mso-top-percent:45;mso-wrap-distance-left:9.35pt;mso-wrap-distance-top:0;mso-wrap-distance-right:9.35pt;mso-wrap-distance-bottom:0;mso-position-horizontal:center;mso-position-horizontal-relative:margin;mso-position-vertical-relative:page;mso-width-percent:1000;mso-height-percent:27;mso-top-percent:45;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" o:allowoverlap="f" fillcolor="#4f81bd [3204]" stroked="f" strokeweight="2pt">
              <v:textbox style="mso-fit-shape-to-text:t">
                <w:txbxContent>
                  <w:sdt>
                    <w:sdtPr>
                      <w:rPr>
                        <w:color w:val="FFFFFF" w:themeColor="background1"/>
                      </w:rPr>
                      <w:alias w:val="Title"/>
                      <w:tag w:val=""/>
                      <w:id w:val="1189017394"/>
                      <w:dataBinding w:prefixMappings="xmlns:ns0='http://purl.org/dc/elements/1.1/' xmlns:ns1='http://schemas.openxmlformats.org/package/2006/metadata/core-properties' " w:xpath="/ns1:coreProperties[1]/ns0:title[1]" w:storeItemID="{6C3C8BC8-F283-45AE-878A-BAB7291924A1}"/>
                      <w:text/>
                    </w:sdtPr>
                    <w:sdtEndPr/>
                    <w:sdtContent>
                      <w:p w14:paraId="1D302B88" w14:textId="3C648A61" w:rsidR="009C3B5D" w:rsidRDefault="009C3B5D">
                        <w:pPr>
                          <w:pStyle w:val="Header"/>
                          <w:jc w:val="center"/>
                          <w:rPr>
                            <w:caps/>
                            <w:color w:val="FFFFFF" w:themeColor="background1"/>
                          </w:rPr>
                        </w:pPr>
                        <w:r w:rsidRPr="009C3B5D">
                          <w:rPr>
                            <w:color w:val="FFFFFF" w:themeColor="background1"/>
                          </w:rPr>
                          <w:t>Common result indicators used for reporting in the APR</w:t>
                        </w:r>
                      </w:p>
                    </w:sdtContent>
                  </w:sdt>
                </w:txbxContent>
              </v:textbox>
              <w10:wrap type="square" anchorx="margin" anchory="page"/>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1822BA" w14:textId="77777777" w:rsidR="00305209" w:rsidRDefault="003052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F24C0"/>
    <w:multiLevelType w:val="hybridMultilevel"/>
    <w:tmpl w:val="0BC83724"/>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011F294E"/>
    <w:multiLevelType w:val="hybridMultilevel"/>
    <w:tmpl w:val="1C8EEC5E"/>
    <w:lvl w:ilvl="0" w:tplc="58AE6E7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2D6091F"/>
    <w:multiLevelType w:val="hybridMultilevel"/>
    <w:tmpl w:val="3A7E6C2C"/>
    <w:lvl w:ilvl="0" w:tplc="08090003">
      <w:start w:val="1"/>
      <w:numFmt w:val="bullet"/>
      <w:lvlText w:val="o"/>
      <w:lvlJc w:val="left"/>
      <w:pPr>
        <w:ind w:left="1800" w:hanging="360"/>
      </w:pPr>
      <w:rPr>
        <w:rFonts w:ascii="Courier New" w:hAnsi="Courier New" w:cs="Courier New"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 w15:restartNumberingAfterBreak="0">
    <w:nsid w:val="048F01C7"/>
    <w:multiLevelType w:val="hybridMultilevel"/>
    <w:tmpl w:val="FDE61E86"/>
    <w:lvl w:ilvl="0" w:tplc="02281788">
      <w:numFmt w:val="bullet"/>
      <w:lvlText w:val=""/>
      <w:lvlJc w:val="left"/>
      <w:pPr>
        <w:ind w:left="720" w:hanging="360"/>
      </w:pPr>
      <w:rPr>
        <w:rFonts w:ascii="Wingdings" w:eastAsiaTheme="minorHAnsi" w:hAnsi="Wingding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6D0E23"/>
    <w:multiLevelType w:val="hybridMultilevel"/>
    <w:tmpl w:val="6ED082F8"/>
    <w:lvl w:ilvl="0" w:tplc="21F08060">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C170F57"/>
    <w:multiLevelType w:val="hybridMultilevel"/>
    <w:tmpl w:val="FA0E83AE"/>
    <w:lvl w:ilvl="0" w:tplc="58AE6E70">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D63261B"/>
    <w:multiLevelType w:val="hybridMultilevel"/>
    <w:tmpl w:val="0F0CBF6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22986C3B"/>
    <w:multiLevelType w:val="hybridMultilevel"/>
    <w:tmpl w:val="AC6E6236"/>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335873AA"/>
    <w:multiLevelType w:val="hybridMultilevel"/>
    <w:tmpl w:val="174E8C3E"/>
    <w:lvl w:ilvl="0" w:tplc="5F42CE98">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50117BD"/>
    <w:multiLevelType w:val="hybridMultilevel"/>
    <w:tmpl w:val="A8DECF9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350D66FA"/>
    <w:multiLevelType w:val="hybridMultilevel"/>
    <w:tmpl w:val="DA1044F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6132831"/>
    <w:multiLevelType w:val="hybridMultilevel"/>
    <w:tmpl w:val="A380121C"/>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2" w15:restartNumberingAfterBreak="0">
    <w:nsid w:val="36A51E6D"/>
    <w:multiLevelType w:val="hybridMultilevel"/>
    <w:tmpl w:val="00B67DB6"/>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3" w15:restartNumberingAfterBreak="0">
    <w:nsid w:val="3A3E10CC"/>
    <w:multiLevelType w:val="hybridMultilevel"/>
    <w:tmpl w:val="215AD4DA"/>
    <w:lvl w:ilvl="0" w:tplc="546C20AA">
      <w:start w:val="3"/>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C357FD6"/>
    <w:multiLevelType w:val="hybridMultilevel"/>
    <w:tmpl w:val="F34E797A"/>
    <w:lvl w:ilvl="0" w:tplc="6D386494">
      <w:start w:val="15"/>
      <w:numFmt w:val="bullet"/>
      <w:lvlText w:val="-"/>
      <w:lvlJc w:val="left"/>
      <w:pPr>
        <w:ind w:left="720" w:hanging="360"/>
      </w:pPr>
      <w:rPr>
        <w:rFonts w:ascii="Calibri" w:eastAsiaTheme="minorHAnsi" w:hAnsi="Calibri" w:cs="Calibri" w:hint="default"/>
      </w:rPr>
    </w:lvl>
    <w:lvl w:ilvl="1" w:tplc="080C0003">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5" w15:restartNumberingAfterBreak="0">
    <w:nsid w:val="40A23EEC"/>
    <w:multiLevelType w:val="hybridMultilevel"/>
    <w:tmpl w:val="DA78EDE8"/>
    <w:lvl w:ilvl="0" w:tplc="6E7632A8">
      <w:start w:val="1"/>
      <w:numFmt w:val="bullet"/>
      <w:lvlText w:val="-"/>
      <w:lvlJc w:val="left"/>
      <w:pPr>
        <w:ind w:left="720" w:hanging="360"/>
      </w:pPr>
      <w:rPr>
        <w:rFonts w:ascii="Calibri" w:eastAsiaTheme="minorHAns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6" w15:restartNumberingAfterBreak="0">
    <w:nsid w:val="410D4AEF"/>
    <w:multiLevelType w:val="hybridMultilevel"/>
    <w:tmpl w:val="F4C25EF8"/>
    <w:lvl w:ilvl="0" w:tplc="DDE08F18">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6671D00"/>
    <w:multiLevelType w:val="hybridMultilevel"/>
    <w:tmpl w:val="9DA8B4A8"/>
    <w:lvl w:ilvl="0" w:tplc="9B92C002">
      <w:start w:val="1"/>
      <w:numFmt w:val="bullet"/>
      <w:lvlText w:val="-"/>
      <w:lvlJc w:val="left"/>
      <w:pPr>
        <w:ind w:left="360" w:hanging="360"/>
      </w:pPr>
      <w:rPr>
        <w:rFonts w:ascii="Calibri" w:eastAsiaTheme="minorHAnsi" w:hAnsi="Calibri" w:cs="Calibri" w:hint="default"/>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18" w15:restartNumberingAfterBreak="0">
    <w:nsid w:val="5AED11B0"/>
    <w:multiLevelType w:val="hybridMultilevel"/>
    <w:tmpl w:val="35DEF0A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F576196"/>
    <w:multiLevelType w:val="hybridMultilevel"/>
    <w:tmpl w:val="EC8089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09C1AC6"/>
    <w:multiLevelType w:val="hybridMultilevel"/>
    <w:tmpl w:val="2550BDE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6E632624"/>
    <w:multiLevelType w:val="hybridMultilevel"/>
    <w:tmpl w:val="FCD63BE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7157757C"/>
    <w:multiLevelType w:val="hybridMultilevel"/>
    <w:tmpl w:val="3B82376E"/>
    <w:lvl w:ilvl="0" w:tplc="08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77809CB"/>
    <w:multiLevelType w:val="hybridMultilevel"/>
    <w:tmpl w:val="EF5EAFA8"/>
    <w:lvl w:ilvl="0" w:tplc="DDE08F18">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B04B45"/>
    <w:multiLevelType w:val="hybridMultilevel"/>
    <w:tmpl w:val="C2D2878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D882A6A"/>
    <w:multiLevelType w:val="hybridMultilevel"/>
    <w:tmpl w:val="CCF6852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11"/>
  </w:num>
  <w:num w:numId="2">
    <w:abstractNumId w:val="12"/>
  </w:num>
  <w:num w:numId="3">
    <w:abstractNumId w:val="14"/>
  </w:num>
  <w:num w:numId="4">
    <w:abstractNumId w:val="17"/>
  </w:num>
  <w:num w:numId="5">
    <w:abstractNumId w:val="15"/>
  </w:num>
  <w:num w:numId="6">
    <w:abstractNumId w:val="13"/>
  </w:num>
  <w:num w:numId="7">
    <w:abstractNumId w:val="25"/>
  </w:num>
  <w:num w:numId="8">
    <w:abstractNumId w:val="21"/>
  </w:num>
  <w:num w:numId="9">
    <w:abstractNumId w:val="9"/>
  </w:num>
  <w:num w:numId="10">
    <w:abstractNumId w:val="7"/>
  </w:num>
  <w:num w:numId="11">
    <w:abstractNumId w:val="6"/>
  </w:num>
  <w:num w:numId="12">
    <w:abstractNumId w:val="2"/>
  </w:num>
  <w:num w:numId="13">
    <w:abstractNumId w:val="0"/>
  </w:num>
  <w:num w:numId="14">
    <w:abstractNumId w:val="3"/>
  </w:num>
  <w:num w:numId="15">
    <w:abstractNumId w:val="5"/>
  </w:num>
  <w:num w:numId="16">
    <w:abstractNumId w:val="10"/>
  </w:num>
  <w:num w:numId="17">
    <w:abstractNumId w:val="18"/>
  </w:num>
  <w:num w:numId="18">
    <w:abstractNumId w:val="24"/>
  </w:num>
  <w:num w:numId="19">
    <w:abstractNumId w:val="23"/>
  </w:num>
  <w:num w:numId="20">
    <w:abstractNumId w:val="16"/>
  </w:num>
  <w:num w:numId="21">
    <w:abstractNumId w:val="22"/>
  </w:num>
  <w:num w:numId="22">
    <w:abstractNumId w:val="1"/>
  </w:num>
  <w:num w:numId="23">
    <w:abstractNumId w:val="20"/>
  </w:num>
  <w:num w:numId="24">
    <w:abstractNumId w:val="4"/>
  </w:num>
  <w:num w:numId="25">
    <w:abstractNumId w:val="19"/>
  </w:num>
  <w:num w:numId="2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hyphenationZone w:val="425"/>
  <w:characterSpacingControl w:val="doNotCompress"/>
  <w:hdrShapeDefaults>
    <o:shapedefaults v:ext="edit" spidmax="4098"/>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1450"/>
    <w:rsid w:val="00002838"/>
    <w:rsid w:val="000051F1"/>
    <w:rsid w:val="00012BBD"/>
    <w:rsid w:val="0001374E"/>
    <w:rsid w:val="000D2FEB"/>
    <w:rsid w:val="000E312F"/>
    <w:rsid w:val="000E7168"/>
    <w:rsid w:val="001158F8"/>
    <w:rsid w:val="00135C1D"/>
    <w:rsid w:val="001711DE"/>
    <w:rsid w:val="001808C4"/>
    <w:rsid w:val="00193B83"/>
    <w:rsid w:val="001B6F1D"/>
    <w:rsid w:val="001E3F49"/>
    <w:rsid w:val="00206B33"/>
    <w:rsid w:val="00265182"/>
    <w:rsid w:val="00270924"/>
    <w:rsid w:val="002F04FD"/>
    <w:rsid w:val="00305209"/>
    <w:rsid w:val="0033009D"/>
    <w:rsid w:val="0033198A"/>
    <w:rsid w:val="003507A4"/>
    <w:rsid w:val="00364D18"/>
    <w:rsid w:val="0037532A"/>
    <w:rsid w:val="003B5AB5"/>
    <w:rsid w:val="003D4B35"/>
    <w:rsid w:val="004772A4"/>
    <w:rsid w:val="004967F2"/>
    <w:rsid w:val="004B4C9F"/>
    <w:rsid w:val="004E1103"/>
    <w:rsid w:val="0052255A"/>
    <w:rsid w:val="0055344F"/>
    <w:rsid w:val="00555394"/>
    <w:rsid w:val="005700F9"/>
    <w:rsid w:val="005975F4"/>
    <w:rsid w:val="005A782C"/>
    <w:rsid w:val="005D1000"/>
    <w:rsid w:val="005F5E22"/>
    <w:rsid w:val="00616C76"/>
    <w:rsid w:val="00627A20"/>
    <w:rsid w:val="00661450"/>
    <w:rsid w:val="006A220C"/>
    <w:rsid w:val="006C7418"/>
    <w:rsid w:val="006F4454"/>
    <w:rsid w:val="00701FD8"/>
    <w:rsid w:val="00702AA1"/>
    <w:rsid w:val="00715596"/>
    <w:rsid w:val="00720BBB"/>
    <w:rsid w:val="00724A4D"/>
    <w:rsid w:val="007638A2"/>
    <w:rsid w:val="007914B7"/>
    <w:rsid w:val="007A008F"/>
    <w:rsid w:val="007B65CD"/>
    <w:rsid w:val="007E157F"/>
    <w:rsid w:val="007F618C"/>
    <w:rsid w:val="007F6589"/>
    <w:rsid w:val="008175FB"/>
    <w:rsid w:val="0086133D"/>
    <w:rsid w:val="00893BCF"/>
    <w:rsid w:val="008A2964"/>
    <w:rsid w:val="008D6950"/>
    <w:rsid w:val="008D6C02"/>
    <w:rsid w:val="00911AF8"/>
    <w:rsid w:val="00915EAE"/>
    <w:rsid w:val="00975674"/>
    <w:rsid w:val="00991B74"/>
    <w:rsid w:val="009C3B5D"/>
    <w:rsid w:val="009D55E1"/>
    <w:rsid w:val="009E10F9"/>
    <w:rsid w:val="00A31E98"/>
    <w:rsid w:val="00A70282"/>
    <w:rsid w:val="00A73979"/>
    <w:rsid w:val="00A83A35"/>
    <w:rsid w:val="00A91A59"/>
    <w:rsid w:val="00AF0027"/>
    <w:rsid w:val="00B11787"/>
    <w:rsid w:val="00B24990"/>
    <w:rsid w:val="00B367C4"/>
    <w:rsid w:val="00B618C4"/>
    <w:rsid w:val="00B8324D"/>
    <w:rsid w:val="00B83E51"/>
    <w:rsid w:val="00C11B93"/>
    <w:rsid w:val="00C147E7"/>
    <w:rsid w:val="00C86819"/>
    <w:rsid w:val="00C924F3"/>
    <w:rsid w:val="00CA5EF0"/>
    <w:rsid w:val="00CB5FA8"/>
    <w:rsid w:val="00CF1926"/>
    <w:rsid w:val="00D021C1"/>
    <w:rsid w:val="00D103E3"/>
    <w:rsid w:val="00D50653"/>
    <w:rsid w:val="00D64A39"/>
    <w:rsid w:val="00D71BCB"/>
    <w:rsid w:val="00D7374E"/>
    <w:rsid w:val="00DA2250"/>
    <w:rsid w:val="00DA6792"/>
    <w:rsid w:val="00DB19F8"/>
    <w:rsid w:val="00E51237"/>
    <w:rsid w:val="00E665A7"/>
    <w:rsid w:val="00ED22E8"/>
    <w:rsid w:val="00F53E6F"/>
    <w:rsid w:val="00F57F6B"/>
    <w:rsid w:val="00F75F0C"/>
    <w:rsid w:val="00F812DC"/>
    <w:rsid w:val="00F90F13"/>
    <w:rsid w:val="00F9112D"/>
    <w:rsid w:val="00FC529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14:docId w14:val="0892C8F0"/>
  <w15:docId w15:val="{A09DAF58-1577-4CC8-B156-317134E67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compact,Normal bullet 2,Paragraphe de liste 2,Reference list,Bullet list,Numbered List,List Paragraph1,1st level - Bullet List Paragraph,Lettre d'introduction,Paragraph,Bullet EY,List Paragraph11,Normal bullet 21,List L1"/>
    <w:basedOn w:val="Normal"/>
    <w:link w:val="ListParagraphChar"/>
    <w:uiPriority w:val="34"/>
    <w:qFormat/>
    <w:rsid w:val="00661450"/>
    <w:pPr>
      <w:ind w:left="720"/>
      <w:contextualSpacing/>
    </w:pPr>
  </w:style>
  <w:style w:type="character" w:customStyle="1" w:styleId="ListParagraphChar">
    <w:name w:val="List Paragraph Char"/>
    <w:aliases w:val="List Paragraph compact Char,Normal bullet 2 Char,Paragraphe de liste 2 Char,Reference list Char,Bullet list Char,Numbered List Char,List Paragraph1 Char,1st level - Bullet List Paragraph Char,Lettre d'introduction Char,Paragraph Char"/>
    <w:link w:val="ListParagraph"/>
    <w:uiPriority w:val="34"/>
    <w:qFormat/>
    <w:locked/>
    <w:rsid w:val="00661450"/>
  </w:style>
  <w:style w:type="character" w:styleId="CommentReference">
    <w:name w:val="annotation reference"/>
    <w:basedOn w:val="DefaultParagraphFont"/>
    <w:uiPriority w:val="99"/>
    <w:semiHidden/>
    <w:unhideWhenUsed/>
    <w:rsid w:val="00661450"/>
    <w:rPr>
      <w:sz w:val="16"/>
      <w:szCs w:val="16"/>
    </w:rPr>
  </w:style>
  <w:style w:type="paragraph" w:styleId="CommentText">
    <w:name w:val="annotation text"/>
    <w:basedOn w:val="Normal"/>
    <w:link w:val="CommentTextChar"/>
    <w:uiPriority w:val="99"/>
    <w:semiHidden/>
    <w:unhideWhenUsed/>
    <w:rsid w:val="00661450"/>
    <w:pPr>
      <w:spacing w:line="240" w:lineRule="auto"/>
    </w:pPr>
    <w:rPr>
      <w:sz w:val="20"/>
      <w:szCs w:val="20"/>
    </w:rPr>
  </w:style>
  <w:style w:type="character" w:customStyle="1" w:styleId="CommentTextChar">
    <w:name w:val="Comment Text Char"/>
    <w:basedOn w:val="DefaultParagraphFont"/>
    <w:link w:val="CommentText"/>
    <w:uiPriority w:val="99"/>
    <w:semiHidden/>
    <w:rsid w:val="00661450"/>
    <w:rPr>
      <w:sz w:val="20"/>
      <w:szCs w:val="20"/>
    </w:rPr>
  </w:style>
  <w:style w:type="paragraph" w:styleId="BalloonText">
    <w:name w:val="Balloon Text"/>
    <w:basedOn w:val="Normal"/>
    <w:link w:val="BalloonTextChar"/>
    <w:uiPriority w:val="99"/>
    <w:semiHidden/>
    <w:unhideWhenUsed/>
    <w:rsid w:val="0066145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61450"/>
    <w:rPr>
      <w:rFonts w:ascii="Segoe UI" w:hAnsi="Segoe UI" w:cs="Segoe UI"/>
      <w:sz w:val="18"/>
      <w:szCs w:val="18"/>
    </w:rPr>
  </w:style>
  <w:style w:type="table" w:styleId="TableGrid">
    <w:name w:val="Table Grid"/>
    <w:basedOn w:val="TableNormal"/>
    <w:uiPriority w:val="59"/>
    <w:rsid w:val="006614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661450"/>
    <w:rPr>
      <w:color w:val="0000FF" w:themeColor="hyperlink"/>
      <w:u w:val="single"/>
    </w:rPr>
  </w:style>
  <w:style w:type="paragraph" w:styleId="CommentSubject">
    <w:name w:val="annotation subject"/>
    <w:basedOn w:val="CommentText"/>
    <w:next w:val="CommentText"/>
    <w:link w:val="CommentSubjectChar"/>
    <w:uiPriority w:val="99"/>
    <w:semiHidden/>
    <w:unhideWhenUsed/>
    <w:rsid w:val="00CA5EF0"/>
    <w:rPr>
      <w:b/>
      <w:bCs/>
    </w:rPr>
  </w:style>
  <w:style w:type="character" w:customStyle="1" w:styleId="CommentSubjectChar">
    <w:name w:val="Comment Subject Char"/>
    <w:basedOn w:val="CommentTextChar"/>
    <w:link w:val="CommentSubject"/>
    <w:uiPriority w:val="99"/>
    <w:semiHidden/>
    <w:rsid w:val="00CA5EF0"/>
    <w:rPr>
      <w:b/>
      <w:bCs/>
      <w:sz w:val="20"/>
      <w:szCs w:val="20"/>
    </w:rPr>
  </w:style>
  <w:style w:type="paragraph" w:styleId="Revision">
    <w:name w:val="Revision"/>
    <w:hidden/>
    <w:uiPriority w:val="99"/>
    <w:semiHidden/>
    <w:rsid w:val="000051F1"/>
    <w:pPr>
      <w:spacing w:after="0" w:line="240" w:lineRule="auto"/>
    </w:pPr>
  </w:style>
  <w:style w:type="paragraph" w:styleId="Header">
    <w:name w:val="header"/>
    <w:basedOn w:val="Normal"/>
    <w:link w:val="HeaderChar"/>
    <w:uiPriority w:val="99"/>
    <w:unhideWhenUsed/>
    <w:rsid w:val="006A220C"/>
    <w:pPr>
      <w:tabs>
        <w:tab w:val="center" w:pos="4513"/>
        <w:tab w:val="right" w:pos="9026"/>
      </w:tabs>
      <w:spacing w:after="0" w:line="240" w:lineRule="auto"/>
    </w:pPr>
  </w:style>
  <w:style w:type="character" w:customStyle="1" w:styleId="HeaderChar">
    <w:name w:val="Header Char"/>
    <w:basedOn w:val="DefaultParagraphFont"/>
    <w:link w:val="Header"/>
    <w:uiPriority w:val="99"/>
    <w:rsid w:val="006A220C"/>
  </w:style>
  <w:style w:type="paragraph" w:styleId="Footer">
    <w:name w:val="footer"/>
    <w:basedOn w:val="Normal"/>
    <w:link w:val="FooterChar"/>
    <w:uiPriority w:val="99"/>
    <w:unhideWhenUsed/>
    <w:rsid w:val="006A220C"/>
    <w:pPr>
      <w:tabs>
        <w:tab w:val="center" w:pos="4513"/>
        <w:tab w:val="right" w:pos="9026"/>
      </w:tabs>
      <w:spacing w:after="0" w:line="240" w:lineRule="auto"/>
    </w:pPr>
  </w:style>
  <w:style w:type="character" w:customStyle="1" w:styleId="FooterChar">
    <w:name w:val="Footer Char"/>
    <w:basedOn w:val="DefaultParagraphFont"/>
    <w:link w:val="Footer"/>
    <w:uiPriority w:val="99"/>
    <w:rsid w:val="006A22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4249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2869EDEA-757A-4365-B8BB-67333190F1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270</Words>
  <Characters>1547</Characters>
  <Application>Microsoft Office Word</Application>
  <DocSecurity>0</DocSecurity>
  <Lines>46</Lines>
  <Paragraphs>28</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Common result indicators used for reporting in the APR</dc:title>
  <dc:subject/>
  <dc:creator>VAN DE POL Leon (AGRI)</dc:creator>
  <cp:keywords/>
  <dc:description/>
  <cp:lastModifiedBy>HELAINE Sophie (AGRI)</cp:lastModifiedBy>
  <cp:revision>5</cp:revision>
  <cp:lastPrinted>2019-02-13T13:48:00Z</cp:lastPrinted>
  <dcterms:created xsi:type="dcterms:W3CDTF">2019-02-14T14:02:00Z</dcterms:created>
  <dcterms:modified xsi:type="dcterms:W3CDTF">2019-02-15T15:10:00Z</dcterms:modified>
</cp:coreProperties>
</file>